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6E" w:rsidRDefault="00ED4A12" w:rsidP="00ED4A12">
      <w:pPr>
        <w:pStyle w:val="Nadpis1"/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Odstartovala nová etapa dotačního programu Nová zelená úsporám</w:t>
      </w:r>
      <w:r w:rsidR="00785711" w:rsidRPr="00785711">
        <w:rPr>
          <w:b/>
        </w:rPr>
        <w:t xml:space="preserve"> pro </w:t>
      </w:r>
      <w:r w:rsidR="00CE49D9" w:rsidRPr="00BF7D84">
        <w:rPr>
          <w:b/>
        </w:rPr>
        <w:t>bytové</w:t>
      </w:r>
      <w:r w:rsidR="00CE49D9">
        <w:rPr>
          <w:b/>
        </w:rPr>
        <w:t xml:space="preserve"> </w:t>
      </w:r>
      <w:r w:rsidR="00785711" w:rsidRPr="00785711">
        <w:rPr>
          <w:b/>
        </w:rPr>
        <w:t>domy</w:t>
      </w:r>
    </w:p>
    <w:p w:rsidR="00ED4A12" w:rsidRPr="00ED4A12" w:rsidRDefault="00ED4A12" w:rsidP="00ED4A12"/>
    <w:p w:rsidR="00785711" w:rsidRDefault="00785711" w:rsidP="00785711">
      <w:pPr>
        <w:jc w:val="both"/>
      </w:pPr>
      <w:r>
        <w:t xml:space="preserve">Program Nová zelená úsporám přichází s novým konceptem, kterým se snaží být zase o něco zajímavějším, přehlednějším a přístupnějším </w:t>
      </w:r>
      <w:r w:rsidR="00ED4A12">
        <w:t>většímu</w:t>
      </w:r>
      <w:r>
        <w:t xml:space="preserve"> okruh</w:t>
      </w:r>
      <w:r w:rsidR="001616B0">
        <w:t>u</w:t>
      </w:r>
      <w:r>
        <w:t xml:space="preserve"> žadatelů.</w:t>
      </w:r>
    </w:p>
    <w:p w:rsidR="00785711" w:rsidRDefault="00785711" w:rsidP="00785711">
      <w:pPr>
        <w:jc w:val="both"/>
      </w:pPr>
      <w:r>
        <w:t xml:space="preserve">Jednou z hlavních novinek je, že program je určený pro celý bytový segment, </w:t>
      </w:r>
      <w:r w:rsidR="001C2BEE">
        <w:t>nejen pro</w:t>
      </w:r>
      <w:r w:rsidR="00AC121D">
        <w:t xml:space="preserve"> </w:t>
      </w:r>
      <w:r>
        <w:t xml:space="preserve">rodinné domy, ale nově též </w:t>
      </w:r>
      <w:r w:rsidR="00AC121D">
        <w:t xml:space="preserve">pro </w:t>
      </w:r>
      <w:r>
        <w:t>byt</w:t>
      </w:r>
      <w:r w:rsidR="00ED4A12">
        <w:t>ové domy po celé ČR a</w:t>
      </w:r>
      <w:r w:rsidR="00AC121D">
        <w:t xml:space="preserve"> </w:t>
      </w:r>
      <w:r>
        <w:t>třeba</w:t>
      </w:r>
      <w:r w:rsidR="00AC121D">
        <w:t xml:space="preserve"> i</w:t>
      </w:r>
      <w:r>
        <w:t xml:space="preserve"> rekreační objekty, které jsou využívány k trvalému bydlení.</w:t>
      </w:r>
    </w:p>
    <w:p w:rsidR="00785711" w:rsidRDefault="0074473A" w:rsidP="00785711">
      <w:pPr>
        <w:jc w:val="both"/>
      </w:pPr>
      <w:r>
        <w:t>Zároveň došlo ke sloučení s</w:t>
      </w:r>
      <w:r w:rsidR="00AC121D">
        <w:t> jinými programy</w:t>
      </w:r>
      <w:r>
        <w:t xml:space="preserve">, </w:t>
      </w:r>
      <w:r w:rsidR="003522AB">
        <w:t>čímž se</w:t>
      </w:r>
      <w:r>
        <w:t xml:space="preserve"> </w:t>
      </w:r>
      <w:r w:rsidR="003522AB">
        <w:t>zájemcům otevřela poměrně široká nabídka</w:t>
      </w:r>
      <w:r w:rsidR="009752EC">
        <w:t xml:space="preserve"> dotací.</w:t>
      </w:r>
      <w:r w:rsidR="001616B0">
        <w:t xml:space="preserve"> </w:t>
      </w:r>
      <w:r w:rsidR="009752EC">
        <w:t xml:space="preserve">Vedle </w:t>
      </w:r>
      <w:r w:rsidR="00AC121D">
        <w:t xml:space="preserve">hlavní </w:t>
      </w:r>
      <w:r w:rsidR="009752EC">
        <w:t xml:space="preserve">nabídky na zateplení a výměnu oken ve stávajících objektech, výstavby nových domů </w:t>
      </w:r>
      <w:r w:rsidR="00AC121D">
        <w:t>s velmi nízkou energetickou náročností, výměnu zdrojů tepla</w:t>
      </w:r>
      <w:r w:rsidR="00ED4A12">
        <w:t>, řízeného větrání</w:t>
      </w:r>
      <w:r w:rsidR="00AC121D">
        <w:t xml:space="preserve"> a instalaci solárních systémů, lze z programu NZ</w:t>
      </w:r>
      <w:r w:rsidR="00CE49D9" w:rsidRPr="00BF7D84">
        <w:t>Ú</w:t>
      </w:r>
      <w:r w:rsidR="00AC121D">
        <w:t xml:space="preserve"> žádat i na instalaci venkovní stínící techniky, výstavbu zelené střechy, hospodaření s dešťovou vodou</w:t>
      </w:r>
      <w:r w:rsidR="009A7F8D">
        <w:t xml:space="preserve"> a</w:t>
      </w:r>
      <w:r w:rsidR="00AC121D">
        <w:t xml:space="preserve"> nově také na zřízení dobíjecí</w:t>
      </w:r>
      <w:r w:rsidR="00ED4A12">
        <w:t>ch stanic</w:t>
      </w:r>
      <w:r w:rsidR="00AC121D">
        <w:t xml:space="preserve"> pro elektromobil nebo výsadbu stromů v okolí bytových domů.</w:t>
      </w:r>
    </w:p>
    <w:p w:rsidR="00ED4A12" w:rsidRDefault="00ED4A12" w:rsidP="00785711">
      <w:pPr>
        <w:jc w:val="both"/>
      </w:pPr>
      <w:r>
        <w:t>Po delším období</w:t>
      </w:r>
      <w:r w:rsidR="003522AB">
        <w:t>, kdy byly</w:t>
      </w:r>
      <w:r>
        <w:t xml:space="preserve"> </w:t>
      </w:r>
      <w:r w:rsidR="003522AB">
        <w:t>vyčerpány prostředky</w:t>
      </w:r>
      <w:r w:rsidR="007500A4">
        <w:t xml:space="preserve"> z </w:t>
      </w:r>
      <w:r>
        <w:t>kotlíkových dotací</w:t>
      </w:r>
      <w:r w:rsidR="003522AB">
        <w:t>,</w:t>
      </w:r>
      <w:r>
        <w:t xml:space="preserve"> je nyní opět možné žádat o dotaci</w:t>
      </w:r>
      <w:r w:rsidR="007500A4">
        <w:t xml:space="preserve"> na výměnu zdrojů ve stávajících objektech. Pokud stále někdo provozuje jako hlavní zdroj</w:t>
      </w:r>
      <w:r w:rsidR="003522AB">
        <w:t xml:space="preserve"> vytápění</w:t>
      </w:r>
      <w:r w:rsidR="007500A4">
        <w:t xml:space="preserve"> kotel </w:t>
      </w:r>
      <w:r w:rsidR="003522AB">
        <w:t>1. či 2. emisní třídy na pevná paliva</w:t>
      </w:r>
      <w:r w:rsidR="007500A4">
        <w:t xml:space="preserve"> či lokální topidla na pevná paliva</w:t>
      </w:r>
      <w:r w:rsidR="003522AB">
        <w:t xml:space="preserve"> (uhlí, dřevo)</w:t>
      </w:r>
      <w:r w:rsidR="003B102C">
        <w:t>,</w:t>
      </w:r>
      <w:r w:rsidR="007500A4">
        <w:t xml:space="preserve"> má </w:t>
      </w:r>
      <w:r w:rsidR="003B102C">
        <w:t xml:space="preserve">nyní </w:t>
      </w:r>
      <w:r w:rsidR="007500A4">
        <w:t>posle</w:t>
      </w:r>
      <w:r w:rsidR="003B102C">
        <w:t>dní příležitost využít dotaci pro</w:t>
      </w:r>
      <w:r w:rsidR="007500A4">
        <w:t xml:space="preserve"> přechod na ekologičtější zdroj. Od září 2022 bude totiž provoz těchto </w:t>
      </w:r>
      <w:r w:rsidR="003B102C">
        <w:t xml:space="preserve">původních </w:t>
      </w:r>
      <w:r w:rsidR="007500A4">
        <w:t>zdrojů zak</w:t>
      </w:r>
      <w:r w:rsidR="003522AB">
        <w:t>ázán pod pokutou až 50 tis. Kč.</w:t>
      </w:r>
    </w:p>
    <w:p w:rsidR="00AC121D" w:rsidRDefault="00AC121D" w:rsidP="00785711">
      <w:pPr>
        <w:jc w:val="both"/>
      </w:pPr>
      <w:r>
        <w:t>U některých opatření došlo k navýšení dotačních částek a byly zavedeny tzv. bonusy, které mají motivovat žada</w:t>
      </w:r>
      <w:r w:rsidR="003B102C">
        <w:t>tele ke kombinaci více opatření</w:t>
      </w:r>
      <w:r w:rsidR="008F7FD3">
        <w:t xml:space="preserve">. Např. za každé další opatření lze získat bonus v řádech </w:t>
      </w:r>
      <w:r w:rsidR="003B102C">
        <w:t>desítek tisíc u rodinných domů.</w:t>
      </w:r>
    </w:p>
    <w:p w:rsidR="008F7FD3" w:rsidRDefault="008F7FD3" w:rsidP="00785711">
      <w:pPr>
        <w:jc w:val="both"/>
      </w:pPr>
      <w:r>
        <w:t>Příjem žádostí odstartoval v polovině října a měl by trvat minimálně do poloviny roku 2025. Jednou z dalších novinek je, že veškerá administrace žádosti probíhá</w:t>
      </w:r>
      <w:r w:rsidR="00A17EE7">
        <w:t xml:space="preserve"> již</w:t>
      </w:r>
      <w:r>
        <w:t xml:space="preserve"> zcela online</w:t>
      </w:r>
      <w:r w:rsidR="00A17EE7">
        <w:t xml:space="preserve"> a</w:t>
      </w:r>
      <w:r w:rsidR="003B102C">
        <w:t xml:space="preserve"> </w:t>
      </w:r>
      <w:r w:rsidR="00A17EE7">
        <w:t xml:space="preserve">to </w:t>
      </w:r>
      <w:r w:rsidR="003B102C">
        <w:t>jednoduchým</w:t>
      </w:r>
      <w:r>
        <w:t xml:space="preserve"> nahráním dokumentů </w:t>
      </w:r>
      <w:r w:rsidR="009A7F8D">
        <w:t>přes informační systém.</w:t>
      </w:r>
    </w:p>
    <w:p w:rsidR="009A7F8D" w:rsidRDefault="009A7F8D" w:rsidP="00785711">
      <w:pPr>
        <w:jc w:val="both"/>
        <w:rPr>
          <w:bCs/>
        </w:rPr>
      </w:pPr>
      <w:r w:rsidRPr="00763D95">
        <w:rPr>
          <w:bCs/>
        </w:rPr>
        <w:t xml:space="preserve">V případě zájmu o bližší informace se můžete obrátit na </w:t>
      </w:r>
      <w:r w:rsidR="001616B0">
        <w:rPr>
          <w:bCs/>
        </w:rPr>
        <w:t xml:space="preserve">spolek </w:t>
      </w:r>
      <w:r w:rsidRPr="00763D95">
        <w:rPr>
          <w:bCs/>
        </w:rPr>
        <w:t xml:space="preserve">Energy Centre České Budějovice (www.eccb.cz), které nabízí jak bezplatné a nezávislé poradenství, tak i služby energetických specialistů. Tel.: 387 312 580, </w:t>
      </w:r>
      <w:r w:rsidR="001616B0">
        <w:rPr>
          <w:bCs/>
        </w:rPr>
        <w:t xml:space="preserve">mobil: </w:t>
      </w:r>
      <w:r w:rsidR="001616B0" w:rsidRPr="001616B0">
        <w:rPr>
          <w:bCs/>
        </w:rPr>
        <w:t>773 124 580</w:t>
      </w:r>
      <w:r w:rsidRPr="00763D95">
        <w:rPr>
          <w:bCs/>
        </w:rPr>
        <w:t xml:space="preserve">, email: </w:t>
      </w:r>
      <w:hyperlink r:id="rId4" w:history="1">
        <w:r w:rsidRPr="00702B77">
          <w:rPr>
            <w:rStyle w:val="Hypertextovodkaz"/>
            <w:bCs/>
          </w:rPr>
          <w:t>eccb@eccb.cz</w:t>
        </w:r>
      </w:hyperlink>
      <w:r w:rsidRPr="00763D95">
        <w:rPr>
          <w:bCs/>
        </w:rPr>
        <w:t>.</w:t>
      </w:r>
    </w:p>
    <w:p w:rsidR="007D4F13" w:rsidRDefault="007D4F13" w:rsidP="00785711">
      <w:pPr>
        <w:jc w:val="both"/>
        <w:rPr>
          <w:bCs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8771C7" wp14:editId="13249BB0">
            <wp:simplePos x="0" y="0"/>
            <wp:positionH relativeFrom="margin">
              <wp:posOffset>-635</wp:posOffset>
            </wp:positionH>
            <wp:positionV relativeFrom="paragraph">
              <wp:posOffset>81280</wp:posOffset>
            </wp:positionV>
            <wp:extent cx="1112520" cy="11125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F13" w:rsidRDefault="007D4F13" w:rsidP="007D4F13">
      <w:pPr>
        <w:jc w:val="both"/>
        <w:rPr>
          <w:rFonts w:cs="Calibri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5664995" wp14:editId="40218184">
            <wp:simplePos x="0" y="0"/>
            <wp:positionH relativeFrom="column">
              <wp:posOffset>1652906</wp:posOffset>
            </wp:positionH>
            <wp:positionV relativeFrom="paragraph">
              <wp:posOffset>8890</wp:posOffset>
            </wp:positionV>
            <wp:extent cx="1455420" cy="638471"/>
            <wp:effectExtent l="0" t="0" r="0" b="9525"/>
            <wp:wrapNone/>
            <wp:docPr id="2" name="Obrázek 2" descr="Znak a symboly kraje | www.kraj-jihoce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a symboly kraje | www.kraj-jihocesky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42" cy="64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F13" w:rsidRDefault="007D4F13" w:rsidP="007D4F13">
      <w:pPr>
        <w:jc w:val="both"/>
        <w:rPr>
          <w:rFonts w:cs="Calibri"/>
        </w:rPr>
      </w:pPr>
    </w:p>
    <w:p w:rsidR="007D4F13" w:rsidRDefault="007D4F13" w:rsidP="007D4F13">
      <w:pPr>
        <w:jc w:val="both"/>
        <w:rPr>
          <w:rFonts w:cs="Calibri"/>
        </w:rPr>
      </w:pPr>
    </w:p>
    <w:p w:rsidR="007D4F13" w:rsidRDefault="007D4F13" w:rsidP="007D4F13">
      <w:pPr>
        <w:jc w:val="both"/>
        <w:rPr>
          <w:rFonts w:cs="Calibri"/>
        </w:rPr>
      </w:pPr>
    </w:p>
    <w:p w:rsidR="007D4F13" w:rsidRPr="007D4F13" w:rsidRDefault="007D4F13" w:rsidP="007D4F13">
      <w:pPr>
        <w:jc w:val="both"/>
        <w:rPr>
          <w:rFonts w:cs="Calibri"/>
          <w:i/>
        </w:rPr>
      </w:pPr>
      <w:r w:rsidRPr="007D4F13">
        <w:rPr>
          <w:rFonts w:cs="Calibri"/>
          <w:i/>
        </w:rPr>
        <w:t>Činnost Energy Centre České Budějovice je spolufinancována z rozpočtu Jihočeského kraje.</w:t>
      </w:r>
    </w:p>
    <w:p w:rsidR="007D4F13" w:rsidRPr="00785711" w:rsidRDefault="007D4F13" w:rsidP="00785711">
      <w:pPr>
        <w:jc w:val="both"/>
      </w:pPr>
    </w:p>
    <w:sectPr w:rsidR="007D4F13" w:rsidRPr="00785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33"/>
    <w:rsid w:val="001616B0"/>
    <w:rsid w:val="00196554"/>
    <w:rsid w:val="001C2BEE"/>
    <w:rsid w:val="003522AB"/>
    <w:rsid w:val="003B102C"/>
    <w:rsid w:val="0074473A"/>
    <w:rsid w:val="007500A4"/>
    <w:rsid w:val="00785711"/>
    <w:rsid w:val="007D4F13"/>
    <w:rsid w:val="00876A48"/>
    <w:rsid w:val="008F7FD3"/>
    <w:rsid w:val="009752EC"/>
    <w:rsid w:val="00993C33"/>
    <w:rsid w:val="009A7F8D"/>
    <w:rsid w:val="00A17EE7"/>
    <w:rsid w:val="00AC121D"/>
    <w:rsid w:val="00B12615"/>
    <w:rsid w:val="00BF7D84"/>
    <w:rsid w:val="00C970D2"/>
    <w:rsid w:val="00CE49D9"/>
    <w:rsid w:val="00D50D6E"/>
    <w:rsid w:val="00E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DAD4-BD9A-494B-A752-6B162A13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85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57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5711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85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857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A7F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eccb@ec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ECCB5</dc:creator>
  <cp:keywords/>
  <dc:description/>
  <cp:lastModifiedBy>ECCB4</cp:lastModifiedBy>
  <cp:revision>2</cp:revision>
  <dcterms:created xsi:type="dcterms:W3CDTF">2021-12-16T14:04:00Z</dcterms:created>
  <dcterms:modified xsi:type="dcterms:W3CDTF">2021-12-16T14:04:00Z</dcterms:modified>
</cp:coreProperties>
</file>